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7D03" w14:textId="77777777" w:rsidR="00C67C16" w:rsidRPr="00FB3CE0" w:rsidRDefault="00C67C16" w:rsidP="001B751B">
      <w:pPr>
        <w:spacing w:after="0"/>
        <w:rPr>
          <w:rFonts w:ascii="Century Gothic" w:eastAsia="Arial" w:hAnsi="Century Gothic" w:cs="Arial"/>
          <w:b/>
          <w:color w:val="323D4E"/>
          <w:sz w:val="36"/>
        </w:rPr>
      </w:pPr>
      <w:r w:rsidRPr="00FB3CE0">
        <w:rPr>
          <w:rFonts w:ascii="Century Gothic" w:hAnsi="Century Gothic"/>
          <w:noProof/>
          <w:lang w:eastAsia="en-CA"/>
        </w:rPr>
        <w:drawing>
          <wp:anchor distT="0" distB="0" distL="114300" distR="114300" simplePos="0" relativeHeight="251658240" behindDoc="1" locked="0" layoutInCell="1" allowOverlap="1" wp14:anchorId="694D01D9" wp14:editId="4A4CC231">
            <wp:simplePos x="0" y="0"/>
            <wp:positionH relativeFrom="column">
              <wp:posOffset>4907280</wp:posOffset>
            </wp:positionH>
            <wp:positionV relativeFrom="paragraph">
              <wp:posOffset>-132080</wp:posOffset>
            </wp:positionV>
            <wp:extent cx="2058670" cy="822960"/>
            <wp:effectExtent l="0" t="0" r="0" b="0"/>
            <wp:wrapTight wrapText="bothSides">
              <wp:wrapPolygon edited="0">
                <wp:start x="0" y="0"/>
                <wp:lineTo x="0" y="21000"/>
                <wp:lineTo x="21387" y="21000"/>
                <wp:lineTo x="21387"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670" cy="822960"/>
                    </a:xfrm>
                    <a:prstGeom prst="rect">
                      <a:avLst/>
                    </a:prstGeom>
                  </pic:spPr>
                </pic:pic>
              </a:graphicData>
            </a:graphic>
            <wp14:sizeRelH relativeFrom="page">
              <wp14:pctWidth>0</wp14:pctWidth>
            </wp14:sizeRelH>
            <wp14:sizeRelV relativeFrom="page">
              <wp14:pctHeight>0</wp14:pctHeight>
            </wp14:sizeRelV>
          </wp:anchor>
        </w:drawing>
      </w:r>
      <w:r w:rsidRPr="00FB3CE0">
        <w:rPr>
          <w:rFonts w:ascii="Century Gothic" w:eastAsia="Arial" w:hAnsi="Century Gothic" w:cs="Arial"/>
          <w:b/>
          <w:color w:val="4F6228" w:themeColor="accent3" w:themeShade="80"/>
          <w:sz w:val="36"/>
        </w:rPr>
        <w:t>Dis</w:t>
      </w:r>
      <w:r w:rsidR="00E747CF" w:rsidRPr="00FB3CE0">
        <w:rPr>
          <w:rFonts w:ascii="Century Gothic" w:eastAsia="Arial" w:hAnsi="Century Gothic" w:cs="Arial"/>
          <w:b/>
          <w:color w:val="4F6228" w:themeColor="accent3" w:themeShade="80"/>
          <w:sz w:val="36"/>
        </w:rPr>
        <w:t>tinguished Instructor Award</w:t>
      </w:r>
    </w:p>
    <w:p w14:paraId="79F7CB21" w14:textId="77777777" w:rsidR="00E747CF" w:rsidRPr="00FB3CE0" w:rsidRDefault="00E747CF" w:rsidP="00C67C16">
      <w:pPr>
        <w:spacing w:after="0"/>
        <w:rPr>
          <w:rFonts w:ascii="Century Gothic" w:hAnsi="Century Gothic"/>
          <w:sz w:val="20"/>
          <w:szCs w:val="20"/>
        </w:rPr>
      </w:pPr>
    </w:p>
    <w:p w14:paraId="3238B8AF" w14:textId="77777777" w:rsidR="00131934" w:rsidRPr="00742E4F" w:rsidRDefault="00131934" w:rsidP="00131934">
      <w:pPr>
        <w:ind w:right="763"/>
        <w:rPr>
          <w:rFonts w:ascii="Century Gothic" w:eastAsia="Arial" w:hAnsi="Century Gothic" w:cs="Arial"/>
          <w:sz w:val="20"/>
        </w:rPr>
      </w:pPr>
      <w:r w:rsidRPr="00742E4F">
        <w:rPr>
          <w:rFonts w:ascii="Century Gothic" w:eastAsia="Arial" w:hAnsi="Century Gothic" w:cs="Arial"/>
          <w:sz w:val="20"/>
        </w:rPr>
        <w:t xml:space="preserve">The aim of the Distinguished Instructor Award is to recognize teachers who exhibit commitment to teaching, learners and learning through a variety of measures. This province-wide award attracts both recognition and a financial award of $1500 for the faculty member or team and $500 for the faculty member’s faculty association. </w:t>
      </w:r>
    </w:p>
    <w:p w14:paraId="4511E99D" w14:textId="77777777" w:rsidR="00131934" w:rsidRPr="00742E4F" w:rsidRDefault="00131934" w:rsidP="00131934">
      <w:pPr>
        <w:spacing w:after="0"/>
        <w:rPr>
          <w:rFonts w:ascii="Century Gothic" w:hAnsi="Century Gothic"/>
        </w:rPr>
      </w:pPr>
      <w:r w:rsidRPr="00742E4F">
        <w:rPr>
          <w:rFonts w:ascii="Century Gothic" w:eastAsia="Arial" w:hAnsi="Century Gothic" w:cs="Arial"/>
          <w:b/>
        </w:rPr>
        <w:t xml:space="preserve">Eligibility </w:t>
      </w:r>
    </w:p>
    <w:p w14:paraId="5B3C1648" w14:textId="77777777" w:rsidR="00131934" w:rsidRPr="00742E4F" w:rsidRDefault="00131934" w:rsidP="00131934">
      <w:pPr>
        <w:ind w:right="868"/>
        <w:rPr>
          <w:rFonts w:ascii="Century Gothic" w:eastAsia="Arial" w:hAnsi="Century Gothic" w:cs="Arial"/>
          <w:sz w:val="20"/>
        </w:rPr>
      </w:pPr>
      <w:r>
        <w:rPr>
          <w:rFonts w:ascii="Century Gothic" w:eastAsia="Arial" w:hAnsi="Century Gothic" w:cs="Arial"/>
          <w:sz w:val="20"/>
        </w:rPr>
        <w:t>The a</w:t>
      </w:r>
      <w:r w:rsidRPr="00742E4F">
        <w:rPr>
          <w:rFonts w:ascii="Century Gothic" w:eastAsia="Arial" w:hAnsi="Century Gothic" w:cs="Arial"/>
          <w:sz w:val="20"/>
        </w:rPr>
        <w:t xml:space="preserve">ward is open to all </w:t>
      </w:r>
      <w:r w:rsidRPr="00673C74">
        <w:rPr>
          <w:rFonts w:ascii="Century Gothic" w:eastAsia="Arial" w:hAnsi="Century Gothic" w:cs="Arial"/>
          <w:sz w:val="20"/>
        </w:rPr>
        <w:t xml:space="preserve">ACIFA members who instruct at least one course. The instructor may be someone who instructs learners in any learning platform. A learner is considered any individual who is enrolled in a credit or non-credit course at an ACIFA institution. The nomination may be for an individual or a group/team. Nominations for the award are made by colleagues with the consent of the nominee(s). Nominations must adhere to the </w:t>
      </w:r>
      <w:r w:rsidRPr="00673C74">
        <w:rPr>
          <w:rFonts w:ascii="Century Gothic" w:eastAsia="Arial" w:hAnsi="Century Gothic" w:cs="Arial"/>
          <w:i/>
          <w:sz w:val="20"/>
        </w:rPr>
        <w:t xml:space="preserve">Format for </w:t>
      </w:r>
      <w:r w:rsidRPr="00742E4F">
        <w:rPr>
          <w:rFonts w:ascii="Century Gothic" w:eastAsia="Arial" w:hAnsi="Century Gothic" w:cs="Arial"/>
          <w:i/>
          <w:sz w:val="20"/>
        </w:rPr>
        <w:t>Applications</w:t>
      </w:r>
      <w:r w:rsidRPr="00742E4F">
        <w:rPr>
          <w:rFonts w:ascii="Century Gothic" w:eastAsia="Arial" w:hAnsi="Century Gothic" w:cs="Arial"/>
          <w:sz w:val="20"/>
        </w:rPr>
        <w:t xml:space="preserve"> below. </w:t>
      </w:r>
    </w:p>
    <w:p w14:paraId="2B2FB7BA" w14:textId="77777777" w:rsidR="00131934" w:rsidRPr="00742E4F" w:rsidRDefault="00131934" w:rsidP="00131934">
      <w:pPr>
        <w:ind w:right="790"/>
        <w:rPr>
          <w:rFonts w:ascii="Century Gothic" w:eastAsia="Arial" w:hAnsi="Century Gothic" w:cs="Arial"/>
          <w:sz w:val="20"/>
        </w:rPr>
      </w:pPr>
      <w:r w:rsidRPr="00742E4F">
        <w:rPr>
          <w:rFonts w:ascii="Century Gothic" w:eastAsia="Arial" w:hAnsi="Century Gothic" w:cs="Arial"/>
          <w:sz w:val="20"/>
        </w:rPr>
        <w:t xml:space="preserve">An instructor who wins the award is not eligible for the award for 5 years following the winning of the award. An instructor who has been nominated, but has not won the award, is immediately eligible for the award for the following year. </w:t>
      </w:r>
    </w:p>
    <w:p w14:paraId="60A81FCD" w14:textId="77777777" w:rsidR="00131934" w:rsidRPr="00742E4F" w:rsidRDefault="00131934" w:rsidP="00131934">
      <w:pPr>
        <w:spacing w:after="0"/>
        <w:rPr>
          <w:rFonts w:ascii="Century Gothic" w:hAnsi="Century Gothic"/>
        </w:rPr>
      </w:pPr>
      <w:r w:rsidRPr="00742E4F">
        <w:rPr>
          <w:rFonts w:ascii="Century Gothic" w:eastAsia="Arial" w:hAnsi="Century Gothic" w:cs="Arial"/>
          <w:b/>
        </w:rPr>
        <w:t xml:space="preserve">The Nomination Process </w:t>
      </w:r>
    </w:p>
    <w:p w14:paraId="2CD8F562" w14:textId="77777777" w:rsidR="00131934" w:rsidRPr="00673C74" w:rsidRDefault="00131934" w:rsidP="00131934">
      <w:pPr>
        <w:ind w:right="769"/>
        <w:rPr>
          <w:rFonts w:ascii="Century Gothic" w:hAnsi="Century Gothic"/>
        </w:rPr>
      </w:pPr>
      <w:r w:rsidRPr="00673C74">
        <w:rPr>
          <w:rFonts w:ascii="Century Gothic" w:eastAsia="Arial" w:hAnsi="Century Gothic" w:cs="Arial"/>
          <w:sz w:val="20"/>
        </w:rPr>
        <w:t xml:space="preserve">Upon determining that a faculty member is a qualified candidate for this award, a nominator or nominators will prepare a two to three page document expressing the nominee’s skills and qualities that </w:t>
      </w:r>
      <w:r w:rsidR="00673C74" w:rsidRPr="00673C74">
        <w:rPr>
          <w:rFonts w:ascii="Century Gothic" w:eastAsia="Arial" w:hAnsi="Century Gothic" w:cs="Arial"/>
          <w:sz w:val="20"/>
        </w:rPr>
        <w:t xml:space="preserve">make them </w:t>
      </w:r>
      <w:r w:rsidRPr="00673C74">
        <w:rPr>
          <w:rFonts w:ascii="Century Gothic" w:eastAsia="Arial" w:hAnsi="Century Gothic" w:cs="Arial"/>
          <w:sz w:val="20"/>
        </w:rPr>
        <w:t xml:space="preserve">a distinguished instructor. Each participating ACIFA member association will conduct a nomination and selection process at the local level, in accordance with the guidelines in this document, to select up to two nominees to be submitted to the ACIFA Awards Committee.  The ACIFA Awards Committee, established by the Professional Affairs Committee of ACIFA, will select the winner of the award from nominees put forward by each of the participating local faculty associations. </w:t>
      </w:r>
    </w:p>
    <w:p w14:paraId="1A4A7863" w14:textId="77777777" w:rsidR="00131934" w:rsidRPr="00742E4F" w:rsidRDefault="00131934" w:rsidP="00131934">
      <w:pPr>
        <w:rPr>
          <w:rFonts w:ascii="Century Gothic" w:hAnsi="Century Gothic"/>
        </w:rPr>
      </w:pPr>
      <w:r w:rsidRPr="00742E4F">
        <w:rPr>
          <w:rFonts w:ascii="Century Gothic" w:eastAsia="Arial" w:hAnsi="Century Gothic" w:cs="Arial"/>
          <w:b/>
        </w:rPr>
        <w:t xml:space="preserve">Selection Criteria </w:t>
      </w:r>
    </w:p>
    <w:p w14:paraId="35F921E4" w14:textId="77777777" w:rsidR="00131934" w:rsidRPr="00742E4F" w:rsidRDefault="00131934" w:rsidP="00131934">
      <w:pPr>
        <w:rPr>
          <w:rFonts w:ascii="Century Gothic" w:hAnsi="Century Gothic"/>
        </w:rPr>
      </w:pPr>
      <w:r w:rsidRPr="00742E4F">
        <w:rPr>
          <w:rFonts w:ascii="Century Gothic" w:eastAsia="Arial" w:hAnsi="Century Gothic" w:cs="Arial"/>
          <w:sz w:val="20"/>
        </w:rPr>
        <w:t xml:space="preserve">An instructor may qualify for the Distinguished Instructor </w:t>
      </w:r>
      <w:r w:rsidRPr="00673C74">
        <w:rPr>
          <w:rFonts w:ascii="Century Gothic" w:eastAsia="Arial" w:hAnsi="Century Gothic" w:cs="Arial"/>
          <w:sz w:val="20"/>
        </w:rPr>
        <w:t xml:space="preserve">Award </w:t>
      </w:r>
      <w:r w:rsidR="00673C74" w:rsidRPr="00673C74">
        <w:rPr>
          <w:rFonts w:ascii="Century Gothic" w:eastAsia="Arial" w:hAnsi="Century Gothic" w:cs="Arial"/>
          <w:sz w:val="20"/>
        </w:rPr>
        <w:t xml:space="preserve">if they </w:t>
      </w:r>
      <w:r w:rsidRPr="00673C74">
        <w:rPr>
          <w:rFonts w:ascii="Century Gothic" w:eastAsia="Arial" w:hAnsi="Century Gothic" w:cs="Arial"/>
          <w:sz w:val="20"/>
        </w:rPr>
        <w:t xml:space="preserve">demonstrate </w:t>
      </w:r>
      <w:r w:rsidRPr="00742E4F">
        <w:rPr>
          <w:rFonts w:ascii="Century Gothic" w:eastAsia="Arial" w:hAnsi="Century Gothic" w:cs="Arial"/>
          <w:sz w:val="20"/>
        </w:rPr>
        <w:t>commitment to learners and learning through a variety of measures</w:t>
      </w:r>
      <w:r w:rsidR="00673C74">
        <w:rPr>
          <w:rFonts w:ascii="Century Gothic" w:eastAsia="Arial" w:hAnsi="Century Gothic" w:cs="Arial"/>
          <w:color w:val="FF0000"/>
          <w:sz w:val="20"/>
        </w:rPr>
        <w:t>:</w:t>
      </w:r>
    </w:p>
    <w:p w14:paraId="3195FCF3" w14:textId="77777777" w:rsidR="00131934" w:rsidRPr="00742E4F" w:rsidRDefault="00131934" w:rsidP="00131934">
      <w:pPr>
        <w:pStyle w:val="ListParagraph"/>
        <w:numPr>
          <w:ilvl w:val="0"/>
          <w:numId w:val="5"/>
        </w:numPr>
        <w:spacing w:line="259" w:lineRule="auto"/>
        <w:ind w:right="282"/>
        <w:rPr>
          <w:rFonts w:ascii="Century Gothic" w:hAnsi="Century Gothic"/>
        </w:rPr>
      </w:pPr>
      <w:r w:rsidRPr="00742E4F">
        <w:rPr>
          <w:rFonts w:ascii="Century Gothic" w:eastAsia="Arial" w:hAnsi="Century Gothic" w:cs="Arial"/>
          <w:sz w:val="20"/>
        </w:rPr>
        <w:t xml:space="preserve">Responds to the individual needs of learners in and out of the classroom by respecting the diverse talents and ways of learning. </w:t>
      </w:r>
    </w:p>
    <w:p w14:paraId="6215B6F0" w14:textId="77777777" w:rsidR="00131934" w:rsidRPr="00742E4F" w:rsidRDefault="00131934" w:rsidP="00131934">
      <w:pPr>
        <w:pStyle w:val="ListParagraph"/>
        <w:numPr>
          <w:ilvl w:val="0"/>
          <w:numId w:val="5"/>
        </w:numPr>
        <w:spacing w:line="259" w:lineRule="auto"/>
        <w:ind w:right="282"/>
        <w:rPr>
          <w:rFonts w:ascii="Century Gothic" w:hAnsi="Century Gothic"/>
        </w:rPr>
      </w:pPr>
      <w:r w:rsidRPr="00742E4F">
        <w:rPr>
          <w:rFonts w:ascii="Century Gothic" w:eastAsia="Arial" w:hAnsi="Century Gothic" w:cs="Arial"/>
          <w:sz w:val="20"/>
        </w:rPr>
        <w:t>Promotes a quality, respectful and positive learning environment by encouraging cooperation among students, and by giving prompt feedback</w:t>
      </w:r>
      <w:r>
        <w:rPr>
          <w:rFonts w:ascii="Century Gothic" w:eastAsia="Arial" w:hAnsi="Century Gothic" w:cs="Arial"/>
          <w:sz w:val="20"/>
        </w:rPr>
        <w:t>.</w:t>
      </w:r>
      <w:r w:rsidRPr="00742E4F">
        <w:rPr>
          <w:rFonts w:ascii="Century Gothic" w:eastAsia="Arial" w:hAnsi="Century Gothic" w:cs="Arial"/>
          <w:sz w:val="20"/>
        </w:rPr>
        <w:t xml:space="preserve"> </w:t>
      </w:r>
    </w:p>
    <w:p w14:paraId="76180C05" w14:textId="77777777" w:rsidR="00131934" w:rsidRPr="0021609F" w:rsidRDefault="00673C74" w:rsidP="00131934">
      <w:pPr>
        <w:pStyle w:val="ListParagraph"/>
        <w:numPr>
          <w:ilvl w:val="0"/>
          <w:numId w:val="5"/>
        </w:numPr>
        <w:spacing w:line="259" w:lineRule="auto"/>
        <w:ind w:right="282"/>
        <w:rPr>
          <w:rFonts w:ascii="Century Gothic" w:hAnsi="Century Gothic"/>
        </w:rPr>
      </w:pPr>
      <w:r w:rsidRPr="0021609F">
        <w:rPr>
          <w:rFonts w:ascii="Century Gothic" w:eastAsia="Arial" w:hAnsi="Century Gothic" w:cs="Arial"/>
          <w:sz w:val="20"/>
        </w:rPr>
        <w:t>Demonstrates effective and inclusive instruction and learning strategies, including communicating high expectations and encouraging active learning.</w:t>
      </w:r>
    </w:p>
    <w:p w14:paraId="13921F2B" w14:textId="77777777" w:rsidR="00131934" w:rsidRPr="00742E4F" w:rsidRDefault="00131934" w:rsidP="00131934">
      <w:pPr>
        <w:pStyle w:val="ListParagraph"/>
        <w:numPr>
          <w:ilvl w:val="0"/>
          <w:numId w:val="5"/>
        </w:numPr>
        <w:spacing w:line="259" w:lineRule="auto"/>
        <w:ind w:right="282"/>
        <w:rPr>
          <w:rFonts w:ascii="Century Gothic" w:hAnsi="Century Gothic"/>
        </w:rPr>
      </w:pPr>
      <w:r w:rsidRPr="00742E4F">
        <w:rPr>
          <w:rFonts w:ascii="Century Gothic" w:eastAsia="Arial" w:hAnsi="Century Gothic" w:cs="Arial"/>
          <w:sz w:val="20"/>
        </w:rPr>
        <w:t xml:space="preserve">Demonstrates a thorough knowledge of subject matter and strives to keep current in their field of expertise. </w:t>
      </w:r>
    </w:p>
    <w:p w14:paraId="67C27821" w14:textId="77777777" w:rsidR="00131934" w:rsidRPr="00742E4F" w:rsidRDefault="00131934" w:rsidP="00131934">
      <w:pPr>
        <w:pStyle w:val="ListParagraph"/>
        <w:numPr>
          <w:ilvl w:val="0"/>
          <w:numId w:val="5"/>
        </w:numPr>
        <w:spacing w:line="259" w:lineRule="auto"/>
        <w:ind w:right="282"/>
        <w:rPr>
          <w:rFonts w:ascii="Century Gothic" w:hAnsi="Century Gothic"/>
        </w:rPr>
      </w:pPr>
      <w:r w:rsidRPr="00742E4F">
        <w:rPr>
          <w:rFonts w:ascii="Century Gothic" w:eastAsia="Arial" w:hAnsi="Century Gothic" w:cs="Arial"/>
          <w:sz w:val="20"/>
        </w:rPr>
        <w:t xml:space="preserve">Explores professional development opportunities with interest and enthusiasm. </w:t>
      </w:r>
    </w:p>
    <w:p w14:paraId="2A877D14" w14:textId="77777777" w:rsidR="00131934" w:rsidRPr="00742E4F" w:rsidRDefault="00131934" w:rsidP="00131934">
      <w:pPr>
        <w:pStyle w:val="ListParagraph"/>
        <w:numPr>
          <w:ilvl w:val="0"/>
          <w:numId w:val="5"/>
        </w:numPr>
        <w:spacing w:line="259" w:lineRule="auto"/>
        <w:ind w:right="282"/>
        <w:rPr>
          <w:rFonts w:ascii="Century Gothic" w:hAnsi="Century Gothic"/>
        </w:rPr>
      </w:pPr>
      <w:r w:rsidRPr="00742E4F">
        <w:rPr>
          <w:rFonts w:ascii="Century Gothic" w:eastAsia="Arial" w:hAnsi="Century Gothic" w:cs="Arial"/>
          <w:sz w:val="20"/>
        </w:rPr>
        <w:t xml:space="preserve">Models professional attitudes and values. </w:t>
      </w:r>
    </w:p>
    <w:p w14:paraId="2AD6421B" w14:textId="77777777" w:rsidR="00131934" w:rsidRPr="00742E4F" w:rsidRDefault="00131934" w:rsidP="00131934">
      <w:pPr>
        <w:ind w:right="823"/>
        <w:rPr>
          <w:rFonts w:ascii="Century Gothic" w:hAnsi="Century Gothic"/>
        </w:rPr>
      </w:pPr>
      <w:r w:rsidRPr="00742E4F">
        <w:rPr>
          <w:rFonts w:ascii="Century Gothic" w:eastAsia="Arial" w:hAnsi="Century Gothic" w:cs="Arial"/>
          <w:sz w:val="20"/>
        </w:rPr>
        <w:t>Other Qualities. A nominee may possess other qualities that the judging panel may consider in determining the winner</w:t>
      </w:r>
      <w:r w:rsidRPr="004E6F4D">
        <w:rPr>
          <w:rFonts w:ascii="Century Gothic" w:eastAsia="Arial" w:hAnsi="Century Gothic" w:cs="Arial"/>
          <w:color w:val="FF0000"/>
          <w:sz w:val="20"/>
        </w:rPr>
        <w:t>:</w:t>
      </w:r>
      <w:r w:rsidRPr="00742E4F">
        <w:rPr>
          <w:rFonts w:ascii="Century Gothic" w:eastAsia="Arial" w:hAnsi="Century Gothic" w:cs="Arial"/>
          <w:sz w:val="20"/>
        </w:rPr>
        <w:t xml:space="preserve"> </w:t>
      </w:r>
    </w:p>
    <w:p w14:paraId="78B2D77A" w14:textId="77777777" w:rsidR="00131934" w:rsidRPr="00673C74" w:rsidRDefault="00131934" w:rsidP="00673C74">
      <w:pPr>
        <w:pStyle w:val="ListParagraph"/>
        <w:numPr>
          <w:ilvl w:val="0"/>
          <w:numId w:val="11"/>
        </w:numPr>
        <w:spacing w:after="0" w:line="259" w:lineRule="auto"/>
        <w:ind w:right="282"/>
        <w:jc w:val="center"/>
        <w:rPr>
          <w:rFonts w:ascii="Century Gothic" w:hAnsi="Century Gothic"/>
        </w:rPr>
      </w:pPr>
      <w:r w:rsidRPr="00673C74">
        <w:rPr>
          <w:rFonts w:ascii="Century Gothic" w:eastAsia="Arial" w:hAnsi="Century Gothic" w:cs="Arial"/>
          <w:sz w:val="20"/>
        </w:rPr>
        <w:t xml:space="preserve">Cooperative spirit   ●   Professional </w:t>
      </w:r>
      <w:r w:rsidR="00673C74" w:rsidRPr="00673C74">
        <w:rPr>
          <w:rFonts w:ascii="Century Gothic" w:eastAsia="Arial" w:hAnsi="Century Gothic" w:cs="Arial"/>
          <w:sz w:val="20"/>
        </w:rPr>
        <w:t xml:space="preserve"> </w:t>
      </w:r>
      <w:r w:rsidR="00673C74">
        <w:rPr>
          <w:rFonts w:ascii="Century Gothic" w:eastAsia="Arial" w:hAnsi="Century Gothic" w:cs="Arial"/>
          <w:sz w:val="20"/>
        </w:rPr>
        <w:t xml:space="preserve"> </w:t>
      </w:r>
      <w:r w:rsidR="00673C74" w:rsidRPr="00673C74">
        <w:rPr>
          <w:rFonts w:ascii="Century Gothic" w:eastAsia="Arial" w:hAnsi="Century Gothic" w:cs="Arial"/>
          <w:sz w:val="20"/>
        </w:rPr>
        <w:t xml:space="preserve"> ●   </w:t>
      </w:r>
      <w:r w:rsidRPr="00673C74">
        <w:rPr>
          <w:rFonts w:ascii="Century Gothic" w:eastAsia="Arial" w:hAnsi="Century Gothic" w:cs="Arial"/>
          <w:sz w:val="20"/>
        </w:rPr>
        <w:t>Reliable  ●   Open to new challenges</w:t>
      </w:r>
    </w:p>
    <w:p w14:paraId="00016314" w14:textId="77777777" w:rsidR="00131934" w:rsidRDefault="00131934" w:rsidP="00131934">
      <w:pPr>
        <w:ind w:left="720" w:right="879"/>
        <w:rPr>
          <w:rFonts w:ascii="Century Gothic" w:eastAsia="Arial" w:hAnsi="Century Gothic" w:cs="Arial"/>
          <w:sz w:val="20"/>
        </w:rPr>
      </w:pPr>
    </w:p>
    <w:p w14:paraId="50429E34" w14:textId="77777777" w:rsidR="00131934" w:rsidRDefault="00131934">
      <w:pPr>
        <w:rPr>
          <w:rFonts w:ascii="Century Gothic" w:eastAsia="Arial" w:hAnsi="Century Gothic" w:cs="Arial"/>
          <w:sz w:val="20"/>
        </w:rPr>
      </w:pPr>
      <w:r>
        <w:rPr>
          <w:rFonts w:ascii="Century Gothic" w:eastAsia="Arial" w:hAnsi="Century Gothic" w:cs="Arial"/>
          <w:sz w:val="20"/>
        </w:rPr>
        <w:br w:type="page"/>
      </w:r>
    </w:p>
    <w:p w14:paraId="26BC039D" w14:textId="77777777" w:rsidR="00673C74" w:rsidRDefault="00131934" w:rsidP="00131934">
      <w:pPr>
        <w:spacing w:after="0"/>
        <w:ind w:right="878"/>
        <w:rPr>
          <w:rFonts w:ascii="Century Gothic" w:eastAsia="Arial" w:hAnsi="Century Gothic" w:cs="Arial"/>
          <w:sz w:val="20"/>
        </w:rPr>
      </w:pPr>
      <w:r w:rsidRPr="00673C74">
        <w:rPr>
          <w:rFonts w:ascii="Century Gothic" w:eastAsia="Arial" w:hAnsi="Century Gothic" w:cs="Arial"/>
          <w:b/>
        </w:rPr>
        <w:lastRenderedPageBreak/>
        <w:t>Supporting Documentation</w:t>
      </w:r>
    </w:p>
    <w:p w14:paraId="15E373C2" w14:textId="77777777" w:rsidR="00131934" w:rsidRPr="0021609F" w:rsidRDefault="00131934" w:rsidP="00131934">
      <w:pPr>
        <w:spacing w:after="0"/>
        <w:ind w:right="878"/>
        <w:rPr>
          <w:rFonts w:ascii="Century Gothic" w:hAnsi="Century Gothic"/>
          <w:sz w:val="20"/>
          <w:szCs w:val="20"/>
        </w:rPr>
      </w:pPr>
      <w:r w:rsidRPr="0021609F">
        <w:rPr>
          <w:rFonts w:ascii="Century Gothic" w:eastAsia="Arial" w:hAnsi="Century Gothic" w:cs="Arial"/>
          <w:sz w:val="20"/>
          <w:szCs w:val="20"/>
        </w:rPr>
        <w:t xml:space="preserve"> Nominations may be supported with a collection of resources to showcase the skills and attributes of the nominee: </w:t>
      </w:r>
    </w:p>
    <w:p w14:paraId="51DC8529" w14:textId="77777777" w:rsidR="00131934" w:rsidRPr="0021609F" w:rsidRDefault="00131934" w:rsidP="00131934">
      <w:pPr>
        <w:pStyle w:val="ListParagraph"/>
        <w:numPr>
          <w:ilvl w:val="0"/>
          <w:numId w:val="6"/>
        </w:numPr>
        <w:spacing w:line="259" w:lineRule="auto"/>
        <w:ind w:right="282"/>
        <w:rPr>
          <w:rFonts w:ascii="Century Gothic" w:hAnsi="Century Gothic"/>
          <w:sz w:val="20"/>
          <w:szCs w:val="20"/>
        </w:rPr>
      </w:pPr>
      <w:r w:rsidRPr="0021609F">
        <w:rPr>
          <w:rFonts w:ascii="Century Gothic" w:eastAsia="Arial" w:hAnsi="Century Gothic" w:cs="Arial"/>
          <w:sz w:val="20"/>
          <w:szCs w:val="20"/>
        </w:rPr>
        <w:t xml:space="preserve">Letter of support from colleague(s) (to a maximum of two) </w:t>
      </w:r>
    </w:p>
    <w:p w14:paraId="13ED4BC4" w14:textId="77777777" w:rsidR="00673C74" w:rsidRPr="0021609F" w:rsidRDefault="00673C74" w:rsidP="00131934">
      <w:pPr>
        <w:pStyle w:val="ListParagraph"/>
        <w:numPr>
          <w:ilvl w:val="0"/>
          <w:numId w:val="6"/>
        </w:numPr>
        <w:spacing w:line="259" w:lineRule="auto"/>
        <w:ind w:right="282"/>
        <w:rPr>
          <w:rFonts w:ascii="Century Gothic" w:hAnsi="Century Gothic"/>
          <w:sz w:val="20"/>
          <w:szCs w:val="20"/>
        </w:rPr>
      </w:pPr>
      <w:r w:rsidRPr="0021609F">
        <w:rPr>
          <w:rFonts w:ascii="Century Gothic" w:hAnsi="Century Gothic"/>
          <w:sz w:val="20"/>
          <w:szCs w:val="20"/>
        </w:rPr>
        <w:t>Name, position, and place of work of nominee</w:t>
      </w:r>
    </w:p>
    <w:p w14:paraId="118057D3" w14:textId="77777777" w:rsidR="00673C74" w:rsidRPr="0021609F" w:rsidRDefault="00673C74" w:rsidP="00131934">
      <w:pPr>
        <w:pStyle w:val="ListParagraph"/>
        <w:numPr>
          <w:ilvl w:val="0"/>
          <w:numId w:val="6"/>
        </w:numPr>
        <w:spacing w:line="259" w:lineRule="auto"/>
        <w:ind w:right="282"/>
        <w:rPr>
          <w:rFonts w:ascii="Century Gothic" w:hAnsi="Century Gothic"/>
          <w:sz w:val="20"/>
          <w:szCs w:val="20"/>
        </w:rPr>
      </w:pPr>
      <w:r w:rsidRPr="0021609F">
        <w:rPr>
          <w:rFonts w:ascii="Century Gothic" w:hAnsi="Century Gothic"/>
          <w:sz w:val="20"/>
          <w:szCs w:val="20"/>
        </w:rPr>
        <w:t>A description of the nominee’s instructional qualities (as described in the selection criteria)</w:t>
      </w:r>
    </w:p>
    <w:p w14:paraId="03B60748" w14:textId="77777777" w:rsidR="00673C74" w:rsidRPr="0021609F" w:rsidRDefault="00673C74" w:rsidP="00131934">
      <w:pPr>
        <w:pStyle w:val="ListParagraph"/>
        <w:numPr>
          <w:ilvl w:val="0"/>
          <w:numId w:val="6"/>
        </w:numPr>
        <w:spacing w:line="259" w:lineRule="auto"/>
        <w:ind w:right="282"/>
        <w:rPr>
          <w:rFonts w:ascii="Century Gothic" w:hAnsi="Century Gothic"/>
          <w:sz w:val="20"/>
          <w:szCs w:val="20"/>
        </w:rPr>
      </w:pPr>
      <w:r w:rsidRPr="0021609F">
        <w:rPr>
          <w:rFonts w:ascii="Century Gothic" w:hAnsi="Century Gothic"/>
          <w:sz w:val="20"/>
          <w:szCs w:val="20"/>
        </w:rPr>
        <w:t>A description of other qualities</w:t>
      </w:r>
    </w:p>
    <w:p w14:paraId="79420F86" w14:textId="77777777" w:rsidR="00131934" w:rsidRPr="0021609F" w:rsidRDefault="00131934" w:rsidP="00131934">
      <w:pPr>
        <w:pStyle w:val="ListParagraph"/>
        <w:numPr>
          <w:ilvl w:val="0"/>
          <w:numId w:val="6"/>
        </w:numPr>
        <w:spacing w:line="259" w:lineRule="auto"/>
        <w:ind w:right="282"/>
        <w:rPr>
          <w:rFonts w:ascii="Century Gothic" w:hAnsi="Century Gothic"/>
          <w:sz w:val="20"/>
          <w:szCs w:val="20"/>
        </w:rPr>
      </w:pPr>
      <w:r w:rsidRPr="0021609F">
        <w:rPr>
          <w:rFonts w:ascii="Century Gothic" w:eastAsia="Arial" w:hAnsi="Century Gothic" w:cs="Arial"/>
          <w:sz w:val="20"/>
          <w:szCs w:val="20"/>
        </w:rPr>
        <w:t xml:space="preserve">Student testimonial(s) (to a maximum of three) (Note that students need not be currently enrolled in the nominee’s course(s).) </w:t>
      </w:r>
    </w:p>
    <w:p w14:paraId="765A749F" w14:textId="77777777" w:rsidR="00131934" w:rsidRPr="004E6F4D" w:rsidRDefault="00131934" w:rsidP="00131934">
      <w:pPr>
        <w:spacing w:after="0"/>
        <w:rPr>
          <w:rFonts w:ascii="Century Gothic" w:hAnsi="Century Gothic"/>
          <w:color w:val="FF0000"/>
        </w:rPr>
      </w:pPr>
      <w:r w:rsidRPr="00742E4F">
        <w:rPr>
          <w:rFonts w:ascii="Century Gothic" w:eastAsia="Arial" w:hAnsi="Century Gothic" w:cs="Arial"/>
          <w:b/>
        </w:rPr>
        <w:t xml:space="preserve">Format for Applications: </w:t>
      </w:r>
    </w:p>
    <w:p w14:paraId="0738FC2A" w14:textId="77777777" w:rsidR="00131934" w:rsidRPr="00742E4F" w:rsidRDefault="00131934" w:rsidP="00131934">
      <w:pPr>
        <w:rPr>
          <w:rFonts w:ascii="Century Gothic" w:hAnsi="Century Gothic"/>
        </w:rPr>
      </w:pPr>
      <w:r w:rsidRPr="00742E4F">
        <w:rPr>
          <w:rFonts w:ascii="Century Gothic" w:eastAsia="Arial" w:hAnsi="Century Gothic" w:cs="Arial"/>
          <w:sz w:val="20"/>
        </w:rPr>
        <w:t xml:space="preserve">Please provide information on the nomination form that includes: </w:t>
      </w:r>
    </w:p>
    <w:p w14:paraId="302E893C" w14:textId="77777777" w:rsidR="00673C74" w:rsidRPr="0021609F" w:rsidRDefault="00673C74" w:rsidP="00673C74">
      <w:pPr>
        <w:pStyle w:val="ListParagraph"/>
        <w:numPr>
          <w:ilvl w:val="0"/>
          <w:numId w:val="7"/>
        </w:numPr>
        <w:spacing w:line="259" w:lineRule="auto"/>
        <w:rPr>
          <w:rFonts w:ascii="Century Gothic" w:hAnsi="Century Gothic"/>
        </w:rPr>
      </w:pPr>
      <w:r w:rsidRPr="0021609F">
        <w:rPr>
          <w:rFonts w:ascii="Century Gothic" w:eastAsia="Arial" w:hAnsi="Century Gothic" w:cs="Arial"/>
          <w:sz w:val="20"/>
        </w:rPr>
        <w:t>Up to two supporting letters describing the nominee’s instructional qualities and other qualities (as described in the selection criteria). 2-3 page limit plus appendices</w:t>
      </w:r>
    </w:p>
    <w:p w14:paraId="0453A28F" w14:textId="77777777" w:rsidR="00131934" w:rsidRPr="0021609F" w:rsidRDefault="00673C74" w:rsidP="00673C74">
      <w:pPr>
        <w:pStyle w:val="ListParagraph"/>
        <w:numPr>
          <w:ilvl w:val="0"/>
          <w:numId w:val="7"/>
        </w:numPr>
        <w:spacing w:line="259" w:lineRule="auto"/>
        <w:rPr>
          <w:rFonts w:ascii="Century Gothic" w:hAnsi="Century Gothic"/>
        </w:rPr>
      </w:pPr>
      <w:r w:rsidRPr="0021609F">
        <w:t>Up to three student testimonials supporting the nominee’s instructional qualities and other qualities (as desc</w:t>
      </w:r>
      <w:r w:rsidR="0021609F" w:rsidRPr="0021609F">
        <w:t>ribed in the selection criteria). U</w:t>
      </w:r>
      <w:r w:rsidRPr="0021609F">
        <w:t xml:space="preserve">p to 2 pages. </w:t>
      </w:r>
    </w:p>
    <w:p w14:paraId="179000AC" w14:textId="77777777" w:rsidR="0021609F" w:rsidRDefault="0021609F" w:rsidP="00131934">
      <w:pPr>
        <w:spacing w:after="0"/>
        <w:rPr>
          <w:rFonts w:ascii="Century Gothic" w:hAnsi="Century Gothic"/>
          <w:b/>
        </w:rPr>
      </w:pPr>
      <w:r>
        <w:rPr>
          <w:rFonts w:ascii="Century Gothic" w:hAnsi="Century Gothic"/>
          <w:b/>
        </w:rPr>
        <w:t>The Selection Process</w:t>
      </w:r>
    </w:p>
    <w:p w14:paraId="0A768D38" w14:textId="5E27D1FB" w:rsidR="0021609F" w:rsidRPr="0021609F" w:rsidRDefault="0021609F" w:rsidP="0021609F">
      <w:pPr>
        <w:pStyle w:val="NoSpacing"/>
        <w:rPr>
          <w:rFonts w:ascii="Century Gothic" w:hAnsi="Century Gothic"/>
          <w:sz w:val="20"/>
          <w:szCs w:val="20"/>
        </w:rPr>
      </w:pPr>
      <w:r w:rsidRPr="0021609F">
        <w:rPr>
          <w:rFonts w:ascii="Century Gothic" w:hAnsi="Century Gothic"/>
          <w:sz w:val="20"/>
          <w:szCs w:val="20"/>
        </w:rPr>
        <w:t xml:space="preserve">Four members, selected on an annual basis from and by the Professional Affairs Committee of ACIFA, will select the final award winner from the nominees submitted by the local faculty associations. </w:t>
      </w:r>
    </w:p>
    <w:p w14:paraId="011462CE" w14:textId="77777777" w:rsidR="0021609F" w:rsidRPr="0021609F" w:rsidRDefault="0021609F" w:rsidP="0021609F">
      <w:pPr>
        <w:pStyle w:val="NoSpacing"/>
        <w:rPr>
          <w:rFonts w:ascii="Century Gothic" w:hAnsi="Century Gothic"/>
          <w:sz w:val="20"/>
          <w:szCs w:val="20"/>
        </w:rPr>
      </w:pPr>
    </w:p>
    <w:p w14:paraId="061F3AED" w14:textId="77777777" w:rsidR="0021609F" w:rsidRPr="0021609F" w:rsidRDefault="0021609F" w:rsidP="0021609F">
      <w:pPr>
        <w:pStyle w:val="NoSpacing"/>
        <w:rPr>
          <w:rFonts w:ascii="Century Gothic" w:hAnsi="Century Gothic"/>
          <w:sz w:val="20"/>
          <w:szCs w:val="20"/>
        </w:rPr>
      </w:pPr>
      <w:r w:rsidRPr="0021609F">
        <w:rPr>
          <w:rFonts w:ascii="Century Gothic" w:hAnsi="Century Gothic"/>
          <w:sz w:val="20"/>
          <w:szCs w:val="20"/>
        </w:rPr>
        <w:t>An effort will be made where possible to avoid assigning committee members to adjudicate applications from members from their own institution in the event of a perceived or real conflict of interest. To protect fairness and impartiality of the review process, committee members have a responsibility to recuse themselves from the process in the event of a perceived or real conflict of interest. In the event of a member recusing themselves, the remaining three (3) members will be permitted to make the final selection, with the input of the PAC Chair (if required).</w:t>
      </w:r>
    </w:p>
    <w:p w14:paraId="77245184" w14:textId="77777777" w:rsidR="0021609F" w:rsidRDefault="0021609F" w:rsidP="00131934">
      <w:pPr>
        <w:spacing w:after="0"/>
        <w:rPr>
          <w:rFonts w:ascii="Century Gothic" w:hAnsi="Century Gothic"/>
          <w:b/>
        </w:rPr>
      </w:pPr>
    </w:p>
    <w:p w14:paraId="47581BDD" w14:textId="77777777" w:rsidR="00131934" w:rsidRDefault="00131934" w:rsidP="00131934">
      <w:pPr>
        <w:spacing w:after="0"/>
        <w:rPr>
          <w:rFonts w:ascii="Century Gothic" w:hAnsi="Century Gothic"/>
          <w:sz w:val="20"/>
          <w:szCs w:val="20"/>
        </w:rPr>
      </w:pPr>
      <w:r>
        <w:rPr>
          <w:rFonts w:ascii="Century Gothic" w:hAnsi="Century Gothic"/>
          <w:b/>
        </w:rPr>
        <w:t>Mutual Obligations</w:t>
      </w:r>
    </w:p>
    <w:p w14:paraId="1A31BEE2" w14:textId="77777777" w:rsidR="00131934" w:rsidRPr="00742E4F" w:rsidRDefault="00131934" w:rsidP="00131934">
      <w:pPr>
        <w:spacing w:after="0"/>
        <w:ind w:right="374"/>
        <w:rPr>
          <w:rFonts w:ascii="Century Gothic" w:hAnsi="Century Gothic"/>
        </w:rPr>
      </w:pPr>
      <w:r w:rsidRPr="00742E4F">
        <w:rPr>
          <w:rFonts w:ascii="Century Gothic" w:eastAsia="Arial" w:hAnsi="Century Gothic" w:cs="Arial"/>
          <w:sz w:val="20"/>
        </w:rPr>
        <w:t xml:space="preserve">The ACIFA Awards Committee will undertake to award the winner of </w:t>
      </w:r>
      <w:r w:rsidR="004E6F4D">
        <w:rPr>
          <w:rFonts w:ascii="Century Gothic" w:eastAsia="Arial" w:hAnsi="Century Gothic" w:cs="Arial"/>
          <w:sz w:val="20"/>
        </w:rPr>
        <w:t>Distinguished Instructor Award</w:t>
      </w:r>
      <w:r>
        <w:rPr>
          <w:rFonts w:ascii="Century Gothic" w:eastAsia="Arial" w:hAnsi="Century Gothic" w:cs="Arial"/>
          <w:sz w:val="20"/>
        </w:rPr>
        <w:t xml:space="preserve"> with</w:t>
      </w:r>
      <w:r w:rsidR="004E6F4D">
        <w:rPr>
          <w:rFonts w:ascii="Century Gothic" w:eastAsia="Arial" w:hAnsi="Century Gothic" w:cs="Arial"/>
          <w:sz w:val="20"/>
        </w:rPr>
        <w:t>:</w:t>
      </w:r>
      <w:r w:rsidRPr="00742E4F">
        <w:rPr>
          <w:rFonts w:ascii="Century Gothic" w:eastAsia="Arial" w:hAnsi="Century Gothic" w:cs="Arial"/>
          <w:sz w:val="20"/>
        </w:rPr>
        <w:t xml:space="preserve"> </w:t>
      </w:r>
    </w:p>
    <w:p w14:paraId="0174B687" w14:textId="77777777" w:rsidR="00131934" w:rsidRPr="00742E4F" w:rsidRDefault="00131934" w:rsidP="00131934">
      <w:pPr>
        <w:pStyle w:val="ListParagraph"/>
        <w:numPr>
          <w:ilvl w:val="0"/>
          <w:numId w:val="8"/>
        </w:numPr>
        <w:spacing w:line="259" w:lineRule="auto"/>
        <w:ind w:right="348"/>
        <w:rPr>
          <w:rFonts w:ascii="Century Gothic" w:hAnsi="Century Gothic"/>
        </w:rPr>
      </w:pPr>
      <w:r>
        <w:rPr>
          <w:rFonts w:ascii="Century Gothic" w:eastAsia="Arial" w:hAnsi="Century Gothic" w:cs="Arial"/>
          <w:sz w:val="20"/>
        </w:rPr>
        <w:t>a</w:t>
      </w:r>
      <w:r w:rsidRPr="00742E4F">
        <w:rPr>
          <w:rFonts w:ascii="Century Gothic" w:eastAsia="Arial" w:hAnsi="Century Gothic" w:cs="Arial"/>
          <w:sz w:val="20"/>
        </w:rPr>
        <w:t>n announcement in the ACIFA newsletter</w:t>
      </w:r>
      <w:r>
        <w:rPr>
          <w:rFonts w:ascii="Century Gothic" w:eastAsia="Arial" w:hAnsi="Century Gothic" w:cs="Arial"/>
          <w:sz w:val="20"/>
        </w:rPr>
        <w:t>,</w:t>
      </w:r>
      <w:r w:rsidRPr="00742E4F">
        <w:rPr>
          <w:rFonts w:ascii="Century Gothic" w:eastAsia="Arial" w:hAnsi="Century Gothic" w:cs="Arial"/>
          <w:sz w:val="20"/>
        </w:rPr>
        <w:t xml:space="preserve"> </w:t>
      </w:r>
    </w:p>
    <w:p w14:paraId="758B0506" w14:textId="77777777" w:rsidR="00131934" w:rsidRPr="0021609F" w:rsidRDefault="00131934" w:rsidP="00131934">
      <w:pPr>
        <w:pStyle w:val="ListParagraph"/>
        <w:numPr>
          <w:ilvl w:val="0"/>
          <w:numId w:val="8"/>
        </w:numPr>
        <w:spacing w:line="259" w:lineRule="auto"/>
        <w:ind w:right="348"/>
        <w:rPr>
          <w:rFonts w:ascii="Century Gothic" w:hAnsi="Century Gothic"/>
        </w:rPr>
      </w:pPr>
      <w:r w:rsidRPr="00742E4F">
        <w:rPr>
          <w:rFonts w:ascii="Century Gothic" w:eastAsia="Arial" w:hAnsi="Century Gothic" w:cs="Arial"/>
          <w:sz w:val="20"/>
        </w:rPr>
        <w:t>$</w:t>
      </w:r>
      <w:r w:rsidRPr="0021609F">
        <w:rPr>
          <w:rFonts w:ascii="Century Gothic" w:eastAsia="Arial" w:hAnsi="Century Gothic" w:cs="Arial"/>
          <w:sz w:val="20"/>
        </w:rPr>
        <w:t xml:space="preserve">1500 for the winner and another $500 to the winner’s faculty association, </w:t>
      </w:r>
    </w:p>
    <w:p w14:paraId="714CA8EB" w14:textId="77777777" w:rsidR="00131934" w:rsidRPr="0021609F" w:rsidRDefault="00131934" w:rsidP="00131934">
      <w:pPr>
        <w:pStyle w:val="ListParagraph"/>
        <w:numPr>
          <w:ilvl w:val="0"/>
          <w:numId w:val="8"/>
        </w:numPr>
        <w:spacing w:line="259" w:lineRule="auto"/>
        <w:ind w:right="348"/>
        <w:rPr>
          <w:rFonts w:ascii="Century Gothic" w:hAnsi="Century Gothic"/>
        </w:rPr>
      </w:pPr>
      <w:r w:rsidRPr="0021609F">
        <w:rPr>
          <w:rFonts w:ascii="Century Gothic" w:eastAsia="Arial" w:hAnsi="Century Gothic" w:cs="Arial"/>
          <w:sz w:val="20"/>
        </w:rPr>
        <w:t xml:space="preserve">a formal presentation at the ACIFA Annual Conference, and </w:t>
      </w:r>
      <w:r w:rsidRPr="0021609F">
        <w:rPr>
          <w:rFonts w:ascii="Century Gothic" w:eastAsia="Segoe UI Symbol" w:hAnsi="Century Gothic" w:cs="Segoe UI Symbol"/>
          <w:sz w:val="20"/>
        </w:rPr>
        <w:t xml:space="preserve"> </w:t>
      </w:r>
    </w:p>
    <w:p w14:paraId="24F940C6" w14:textId="77777777" w:rsidR="00131934" w:rsidRPr="0021609F" w:rsidRDefault="00131934" w:rsidP="00131934">
      <w:pPr>
        <w:pStyle w:val="ListParagraph"/>
        <w:numPr>
          <w:ilvl w:val="0"/>
          <w:numId w:val="8"/>
        </w:numPr>
        <w:spacing w:line="259" w:lineRule="auto"/>
        <w:ind w:right="348"/>
        <w:rPr>
          <w:rFonts w:ascii="Century Gothic" w:hAnsi="Century Gothic"/>
        </w:rPr>
      </w:pPr>
      <w:r w:rsidRPr="0021609F">
        <w:rPr>
          <w:rFonts w:ascii="Century Gothic" w:eastAsia="Arial" w:hAnsi="Century Gothic" w:cs="Arial"/>
          <w:sz w:val="20"/>
        </w:rPr>
        <w:t xml:space="preserve">an announcement on the ACIFA website. </w:t>
      </w:r>
    </w:p>
    <w:p w14:paraId="0936BA15" w14:textId="77777777" w:rsidR="00131934" w:rsidRPr="0021609F" w:rsidRDefault="00131934" w:rsidP="00131934">
      <w:pPr>
        <w:spacing w:after="0"/>
        <w:rPr>
          <w:rFonts w:ascii="Century Gothic" w:hAnsi="Century Gothic"/>
        </w:rPr>
      </w:pPr>
      <w:r w:rsidRPr="0021609F">
        <w:rPr>
          <w:rFonts w:ascii="Century Gothic" w:eastAsia="Arial" w:hAnsi="Century Gothic" w:cs="Arial"/>
          <w:sz w:val="20"/>
        </w:rPr>
        <w:t>The Award winner will be expected to</w:t>
      </w:r>
      <w:r w:rsidR="004E6F4D" w:rsidRPr="0021609F">
        <w:rPr>
          <w:rFonts w:ascii="Century Gothic" w:eastAsia="Arial" w:hAnsi="Century Gothic" w:cs="Arial"/>
          <w:sz w:val="20"/>
        </w:rPr>
        <w:t>:</w:t>
      </w:r>
      <w:r w:rsidRPr="0021609F">
        <w:rPr>
          <w:rFonts w:ascii="Century Gothic" w:eastAsia="Arial" w:hAnsi="Century Gothic" w:cs="Arial"/>
          <w:sz w:val="20"/>
        </w:rPr>
        <w:t xml:space="preserve"> </w:t>
      </w:r>
    </w:p>
    <w:p w14:paraId="138D7C6B" w14:textId="77777777" w:rsidR="00131934" w:rsidRPr="0021609F" w:rsidRDefault="00131934" w:rsidP="00131934">
      <w:pPr>
        <w:pStyle w:val="ListParagraph"/>
        <w:numPr>
          <w:ilvl w:val="0"/>
          <w:numId w:val="9"/>
        </w:numPr>
        <w:spacing w:line="246" w:lineRule="auto"/>
        <w:ind w:right="348"/>
        <w:rPr>
          <w:rFonts w:ascii="Century Gothic" w:hAnsi="Century Gothic"/>
        </w:rPr>
      </w:pPr>
      <w:r>
        <w:rPr>
          <w:rFonts w:ascii="Century Gothic" w:eastAsia="Arial" w:hAnsi="Century Gothic" w:cs="Arial"/>
          <w:sz w:val="20"/>
        </w:rPr>
        <w:t>A</w:t>
      </w:r>
      <w:r w:rsidRPr="00742E4F">
        <w:rPr>
          <w:rFonts w:ascii="Century Gothic" w:eastAsia="Arial" w:hAnsi="Century Gothic" w:cs="Arial"/>
          <w:sz w:val="20"/>
        </w:rPr>
        <w:t xml:space="preserve">ttend the ACIFA Annual Conference to accept the </w:t>
      </w:r>
      <w:r w:rsidRPr="0021609F">
        <w:rPr>
          <w:rFonts w:ascii="Century Gothic" w:eastAsia="Arial" w:hAnsi="Century Gothic" w:cs="Arial"/>
          <w:sz w:val="20"/>
        </w:rPr>
        <w:t>Award and present a conference session. ACIFA will cover the conference registration, accommodations, and travel expenses for the winner.</w:t>
      </w:r>
    </w:p>
    <w:p w14:paraId="35EABE9B" w14:textId="77777777" w:rsidR="00131934" w:rsidRPr="0021609F" w:rsidRDefault="00131934" w:rsidP="00131934">
      <w:pPr>
        <w:pStyle w:val="ListParagraph"/>
        <w:numPr>
          <w:ilvl w:val="0"/>
          <w:numId w:val="9"/>
        </w:numPr>
        <w:spacing w:line="246" w:lineRule="auto"/>
        <w:ind w:right="348"/>
        <w:rPr>
          <w:rFonts w:ascii="Century Gothic" w:hAnsi="Century Gothic"/>
        </w:rPr>
      </w:pPr>
      <w:r w:rsidRPr="0021609F">
        <w:rPr>
          <w:rFonts w:ascii="Century Gothic" w:eastAsia="Arial" w:hAnsi="Century Gothic" w:cs="Arial"/>
          <w:sz w:val="20"/>
        </w:rPr>
        <w:t xml:space="preserve">Submit for publication in the ACIFA newsletter a description of the commitment they have made to learners and learning. </w:t>
      </w:r>
    </w:p>
    <w:p w14:paraId="099F20D2" w14:textId="77777777" w:rsidR="00131934" w:rsidRPr="0021609F" w:rsidRDefault="00131934" w:rsidP="00131934">
      <w:pPr>
        <w:spacing w:after="0"/>
        <w:rPr>
          <w:rFonts w:ascii="Century Gothic" w:hAnsi="Century Gothic"/>
        </w:rPr>
      </w:pPr>
      <w:r w:rsidRPr="0021609F">
        <w:rPr>
          <w:rFonts w:ascii="Century Gothic" w:eastAsia="Arial" w:hAnsi="Century Gothic" w:cs="Arial"/>
          <w:b/>
        </w:rPr>
        <w:t xml:space="preserve">Application Dates </w:t>
      </w:r>
    </w:p>
    <w:p w14:paraId="38BAC9F8" w14:textId="3C85E160" w:rsidR="0021609F" w:rsidRPr="0021609F" w:rsidRDefault="00833905" w:rsidP="0021609F">
      <w:pPr>
        <w:pStyle w:val="NoSpacing"/>
        <w:rPr>
          <w:rFonts w:ascii="Century Gothic" w:hAnsi="Century Gothic"/>
          <w:sz w:val="20"/>
          <w:szCs w:val="20"/>
        </w:rPr>
      </w:pPr>
      <w:r>
        <w:rPr>
          <w:rFonts w:ascii="Century Gothic" w:hAnsi="Century Gothic"/>
          <w:b/>
          <w:sz w:val="20"/>
          <w:szCs w:val="20"/>
        </w:rPr>
        <w:t>December 20</w:t>
      </w:r>
      <w:r w:rsidR="0021609F" w:rsidRPr="0021609F">
        <w:rPr>
          <w:rFonts w:ascii="Century Gothic" w:hAnsi="Century Gothic"/>
          <w:b/>
          <w:sz w:val="20"/>
          <w:szCs w:val="20"/>
        </w:rPr>
        <w:t>, 20</w:t>
      </w:r>
      <w:r>
        <w:rPr>
          <w:rFonts w:ascii="Century Gothic" w:hAnsi="Century Gothic"/>
          <w:b/>
          <w:sz w:val="20"/>
          <w:szCs w:val="20"/>
        </w:rPr>
        <w:t>2</w:t>
      </w:r>
      <w:r w:rsidR="00966556">
        <w:rPr>
          <w:rFonts w:ascii="Century Gothic" w:hAnsi="Century Gothic"/>
          <w:b/>
          <w:sz w:val="20"/>
          <w:szCs w:val="20"/>
        </w:rPr>
        <w:t>1</w:t>
      </w:r>
      <w:r w:rsidR="0021609F" w:rsidRPr="0021609F">
        <w:rPr>
          <w:rFonts w:ascii="Century Gothic" w:hAnsi="Century Gothic"/>
          <w:sz w:val="20"/>
          <w:szCs w:val="20"/>
        </w:rPr>
        <w:t xml:space="preserve"> - Applicants must be submitted electronically to ACIFA by midnight. Nominations will be forwarded to the nominees’ faculty associations the following day.</w:t>
      </w:r>
    </w:p>
    <w:p w14:paraId="4D905063" w14:textId="3BD64024" w:rsidR="0021609F" w:rsidRPr="0021609F" w:rsidRDefault="00833905" w:rsidP="0021609F">
      <w:pPr>
        <w:pStyle w:val="NoSpacing"/>
        <w:rPr>
          <w:rFonts w:ascii="Century Gothic" w:hAnsi="Century Gothic"/>
          <w:b/>
          <w:sz w:val="20"/>
          <w:szCs w:val="20"/>
        </w:rPr>
      </w:pPr>
      <w:r>
        <w:rPr>
          <w:rFonts w:ascii="Century Gothic" w:hAnsi="Century Gothic"/>
          <w:b/>
          <w:sz w:val="20"/>
          <w:szCs w:val="20"/>
        </w:rPr>
        <w:t>March 1, 202</w:t>
      </w:r>
      <w:r w:rsidR="00966556">
        <w:rPr>
          <w:rFonts w:ascii="Century Gothic" w:hAnsi="Century Gothic"/>
          <w:b/>
          <w:sz w:val="20"/>
          <w:szCs w:val="20"/>
        </w:rPr>
        <w:t>2</w:t>
      </w:r>
      <w:r w:rsidR="0021609F" w:rsidRPr="0021609F">
        <w:rPr>
          <w:rFonts w:ascii="Century Gothic" w:hAnsi="Century Gothic"/>
          <w:b/>
          <w:sz w:val="20"/>
          <w:szCs w:val="20"/>
        </w:rPr>
        <w:t xml:space="preserve"> </w:t>
      </w:r>
      <w:r w:rsidR="0021609F" w:rsidRPr="0021609F">
        <w:rPr>
          <w:rFonts w:ascii="Century Gothic" w:hAnsi="Century Gothic"/>
          <w:sz w:val="20"/>
          <w:szCs w:val="20"/>
        </w:rPr>
        <w:t>- The ACIFA Awards Committee will notify the award winner.</w:t>
      </w:r>
    </w:p>
    <w:p w14:paraId="3468D1A3" w14:textId="77777777" w:rsidR="0021609F" w:rsidRDefault="0021609F" w:rsidP="00131934">
      <w:pPr>
        <w:spacing w:after="0"/>
        <w:ind w:left="720" w:right="763"/>
        <w:jc w:val="center"/>
        <w:rPr>
          <w:i/>
        </w:rPr>
      </w:pPr>
    </w:p>
    <w:p w14:paraId="343F34BB" w14:textId="77777777" w:rsidR="00131934" w:rsidRPr="0021609F" w:rsidRDefault="0021609F" w:rsidP="00131934">
      <w:pPr>
        <w:spacing w:after="0"/>
        <w:ind w:left="720" w:right="763"/>
        <w:jc w:val="center"/>
        <w:rPr>
          <w:i/>
        </w:rPr>
      </w:pPr>
      <w:r w:rsidRPr="0021609F">
        <w:rPr>
          <w:noProof/>
          <w:lang w:eastAsia="en-CA"/>
        </w:rPr>
        <w:drawing>
          <wp:anchor distT="0" distB="0" distL="114300" distR="114300" simplePos="0" relativeHeight="251663360" behindDoc="1" locked="0" layoutInCell="1" allowOverlap="1" wp14:anchorId="7DC2B2E8" wp14:editId="315657B5">
            <wp:simplePos x="0" y="0"/>
            <wp:positionH relativeFrom="column">
              <wp:posOffset>5082540</wp:posOffset>
            </wp:positionH>
            <wp:positionV relativeFrom="paragraph">
              <wp:posOffset>34925</wp:posOffset>
            </wp:positionV>
            <wp:extent cx="1417955"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In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955" cy="629920"/>
                    </a:xfrm>
                    <a:prstGeom prst="rect">
                      <a:avLst/>
                    </a:prstGeom>
                  </pic:spPr>
                </pic:pic>
              </a:graphicData>
            </a:graphic>
            <wp14:sizeRelH relativeFrom="page">
              <wp14:pctWidth>0</wp14:pctWidth>
            </wp14:sizeRelH>
            <wp14:sizeRelV relativeFrom="page">
              <wp14:pctHeight>0</wp14:pctHeight>
            </wp14:sizeRelV>
          </wp:anchor>
        </w:drawing>
      </w:r>
      <w:r w:rsidR="00131934" w:rsidRPr="0021609F">
        <w:rPr>
          <w:i/>
        </w:rPr>
        <w:t>The award is sponsored and administered by:</w:t>
      </w:r>
    </w:p>
    <w:p w14:paraId="77D6AD97" w14:textId="77777777" w:rsidR="00131934" w:rsidRPr="0021609F" w:rsidRDefault="00131934" w:rsidP="00131934">
      <w:pPr>
        <w:spacing w:after="0"/>
        <w:ind w:left="720" w:right="763"/>
        <w:jc w:val="center"/>
        <w:rPr>
          <w:i/>
        </w:rPr>
      </w:pPr>
      <w:r w:rsidRPr="0021609F">
        <w:rPr>
          <w:i/>
        </w:rPr>
        <w:t>The Alberta Colleges and Institutes Faculties Association</w:t>
      </w:r>
    </w:p>
    <w:p w14:paraId="01CE7AE3" w14:textId="77777777" w:rsidR="00131934" w:rsidRPr="0021609F" w:rsidRDefault="00131934" w:rsidP="0021609F">
      <w:pPr>
        <w:spacing w:after="0"/>
        <w:ind w:left="720" w:right="763"/>
        <w:jc w:val="center"/>
        <w:rPr>
          <w:i/>
        </w:rPr>
      </w:pPr>
      <w:r w:rsidRPr="0021609F">
        <w:rPr>
          <w:i/>
        </w:rPr>
        <w:t>and Johnson Insurance</w:t>
      </w:r>
    </w:p>
    <w:sectPr w:rsidR="00131934" w:rsidRPr="0021609F" w:rsidSect="00C67C16">
      <w:pgSz w:w="12240" w:h="15840" w:code="1"/>
      <w:pgMar w:top="720" w:right="720" w:bottom="720" w:left="720" w:header="706" w:footer="706"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303"/>
    <w:multiLevelType w:val="hybridMultilevel"/>
    <w:tmpl w:val="3830F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DD4151"/>
    <w:multiLevelType w:val="hybridMultilevel"/>
    <w:tmpl w:val="295C1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F1283E"/>
    <w:multiLevelType w:val="hybridMultilevel"/>
    <w:tmpl w:val="350C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FA1F33"/>
    <w:multiLevelType w:val="hybridMultilevel"/>
    <w:tmpl w:val="3F2E1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494852"/>
    <w:multiLevelType w:val="hybridMultilevel"/>
    <w:tmpl w:val="4BD4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8E76A2"/>
    <w:multiLevelType w:val="hybridMultilevel"/>
    <w:tmpl w:val="0142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9D0328"/>
    <w:multiLevelType w:val="hybridMultilevel"/>
    <w:tmpl w:val="AE1CEBA0"/>
    <w:lvl w:ilvl="0" w:tplc="E8F810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FE95A2">
      <w:start w:val="1"/>
      <w:numFmt w:val="bullet"/>
      <w:lvlText w:val="o"/>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D2D3EC">
      <w:start w:val="1"/>
      <w:numFmt w:val="bullet"/>
      <w:lvlText w:val="▪"/>
      <w:lvlJc w:val="left"/>
      <w:pPr>
        <w:ind w:left="3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F80826">
      <w:start w:val="1"/>
      <w:numFmt w:val="bullet"/>
      <w:lvlText w:val="•"/>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A9730">
      <w:start w:val="1"/>
      <w:numFmt w:val="bullet"/>
      <w:lvlText w:val="o"/>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7AFCF4">
      <w:start w:val="1"/>
      <w:numFmt w:val="bullet"/>
      <w:lvlText w:val="▪"/>
      <w:lvlJc w:val="left"/>
      <w:pPr>
        <w:ind w:left="5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4EBACC">
      <w:start w:val="1"/>
      <w:numFmt w:val="bullet"/>
      <w:lvlText w:val="•"/>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862A2">
      <w:start w:val="1"/>
      <w:numFmt w:val="bullet"/>
      <w:lvlText w:val="o"/>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760214">
      <w:start w:val="1"/>
      <w:numFmt w:val="bullet"/>
      <w:lvlText w:val="▪"/>
      <w:lvlJc w:val="left"/>
      <w:pPr>
        <w:ind w:left="7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0446F0"/>
    <w:multiLevelType w:val="hybridMultilevel"/>
    <w:tmpl w:val="3A1CC608"/>
    <w:lvl w:ilvl="0" w:tplc="B6380E52">
      <w:start w:val="1"/>
      <w:numFmt w:val="decimal"/>
      <w:lvlText w:val="%1."/>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6A3E8">
      <w:start w:val="1"/>
      <w:numFmt w:val="lowerLetter"/>
      <w:lvlText w:val="%2"/>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34E4F2">
      <w:start w:val="1"/>
      <w:numFmt w:val="lowerRoman"/>
      <w:lvlText w:val="%3"/>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A3F64">
      <w:start w:val="1"/>
      <w:numFmt w:val="decimal"/>
      <w:lvlText w:val="%4"/>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9E38A6">
      <w:start w:val="1"/>
      <w:numFmt w:val="lowerLetter"/>
      <w:lvlText w:val="%5"/>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461F58">
      <w:start w:val="1"/>
      <w:numFmt w:val="lowerRoman"/>
      <w:lvlText w:val="%6"/>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2BD8E">
      <w:start w:val="1"/>
      <w:numFmt w:val="decimal"/>
      <w:lvlText w:val="%7"/>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CF846">
      <w:start w:val="1"/>
      <w:numFmt w:val="lowerLetter"/>
      <w:lvlText w:val="%8"/>
      <w:lvlJc w:val="left"/>
      <w:pPr>
        <w:ind w:left="7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FEE39C">
      <w:start w:val="1"/>
      <w:numFmt w:val="lowerRoman"/>
      <w:lvlText w:val="%9"/>
      <w:lvlJc w:val="left"/>
      <w:pPr>
        <w:ind w:left="7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956C20"/>
    <w:multiLevelType w:val="multilevel"/>
    <w:tmpl w:val="ABC4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D852E9"/>
    <w:multiLevelType w:val="hybridMultilevel"/>
    <w:tmpl w:val="F2960FB8"/>
    <w:lvl w:ilvl="0" w:tplc="43EAF9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6CA9FA">
      <w:start w:val="1"/>
      <w:numFmt w:val="bullet"/>
      <w:lvlText w:val="o"/>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E64D4C">
      <w:start w:val="1"/>
      <w:numFmt w:val="bullet"/>
      <w:lvlText w:val="▪"/>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0D376">
      <w:start w:val="1"/>
      <w:numFmt w:val="bullet"/>
      <w:lvlText w:val="•"/>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EF770">
      <w:start w:val="1"/>
      <w:numFmt w:val="bullet"/>
      <w:lvlText w:val="o"/>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5C2C36">
      <w:start w:val="1"/>
      <w:numFmt w:val="bullet"/>
      <w:lvlText w:val="▪"/>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00B156">
      <w:start w:val="1"/>
      <w:numFmt w:val="bullet"/>
      <w:lvlText w:val="•"/>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EA0F6">
      <w:start w:val="1"/>
      <w:numFmt w:val="bullet"/>
      <w:lvlText w:val="o"/>
      <w:lvlJc w:val="left"/>
      <w:pPr>
        <w:ind w:left="7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E018C">
      <w:start w:val="1"/>
      <w:numFmt w:val="bullet"/>
      <w:lvlText w:val="▪"/>
      <w:lvlJc w:val="left"/>
      <w:pPr>
        <w:ind w:left="7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4528BE"/>
    <w:multiLevelType w:val="hybridMultilevel"/>
    <w:tmpl w:val="37144118"/>
    <w:lvl w:ilvl="0" w:tplc="A906E7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A8620">
      <w:start w:val="1"/>
      <w:numFmt w:val="bullet"/>
      <w:lvlText w:val="o"/>
      <w:lvlJc w:val="left"/>
      <w:pPr>
        <w:ind w:left="3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00C7E">
      <w:start w:val="1"/>
      <w:numFmt w:val="bullet"/>
      <w:lvlText w:val="▪"/>
      <w:lvlJc w:val="left"/>
      <w:pPr>
        <w:ind w:left="3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2E74EA">
      <w:start w:val="1"/>
      <w:numFmt w:val="bullet"/>
      <w:lvlText w:val="•"/>
      <w:lvlJc w:val="left"/>
      <w:pPr>
        <w:ind w:left="4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E2608">
      <w:start w:val="1"/>
      <w:numFmt w:val="bullet"/>
      <w:lvlText w:val="o"/>
      <w:lvlJc w:val="left"/>
      <w:pPr>
        <w:ind w:left="5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AC9A1E">
      <w:start w:val="1"/>
      <w:numFmt w:val="bullet"/>
      <w:lvlText w:val="▪"/>
      <w:lvlJc w:val="left"/>
      <w:pPr>
        <w:ind w:left="6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C7A6E">
      <w:start w:val="1"/>
      <w:numFmt w:val="bullet"/>
      <w:lvlText w:val="•"/>
      <w:lvlJc w:val="left"/>
      <w:pPr>
        <w:ind w:left="6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A3972">
      <w:start w:val="1"/>
      <w:numFmt w:val="bullet"/>
      <w:lvlText w:val="o"/>
      <w:lvlJc w:val="left"/>
      <w:pPr>
        <w:ind w:left="7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DE1B24">
      <w:start w:val="1"/>
      <w:numFmt w:val="bullet"/>
      <w:lvlText w:val="▪"/>
      <w:lvlJc w:val="left"/>
      <w:pPr>
        <w:ind w:left="8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DAF7583"/>
    <w:multiLevelType w:val="hybridMultilevel"/>
    <w:tmpl w:val="C4104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1"/>
  </w:num>
  <w:num w:numId="6">
    <w:abstractNumId w:val="2"/>
  </w:num>
  <w:num w:numId="7">
    <w:abstractNumId w:val="0"/>
  </w:num>
  <w:num w:numId="8">
    <w:abstractNumId w:val="5"/>
  </w:num>
  <w:num w:numId="9">
    <w:abstractNumId w:val="1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16"/>
    <w:rsid w:val="00093560"/>
    <w:rsid w:val="00131934"/>
    <w:rsid w:val="00175B50"/>
    <w:rsid w:val="001B0586"/>
    <w:rsid w:val="001B751B"/>
    <w:rsid w:val="0021609F"/>
    <w:rsid w:val="002D5C72"/>
    <w:rsid w:val="00326709"/>
    <w:rsid w:val="004B70B5"/>
    <w:rsid w:val="004E6F4D"/>
    <w:rsid w:val="00587A88"/>
    <w:rsid w:val="00673C74"/>
    <w:rsid w:val="00685C56"/>
    <w:rsid w:val="008070BE"/>
    <w:rsid w:val="00833905"/>
    <w:rsid w:val="00862549"/>
    <w:rsid w:val="00966556"/>
    <w:rsid w:val="009E13DE"/>
    <w:rsid w:val="00B542DC"/>
    <w:rsid w:val="00BF6BBB"/>
    <w:rsid w:val="00C67C16"/>
    <w:rsid w:val="00CD4E26"/>
    <w:rsid w:val="00DB03B1"/>
    <w:rsid w:val="00E747CF"/>
    <w:rsid w:val="00ED2175"/>
    <w:rsid w:val="00F46491"/>
    <w:rsid w:val="00FB3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F958"/>
  <w15:docId w15:val="{7BB1E361-FE7C-4CD4-8058-15CF5C1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16"/>
    <w:rPr>
      <w:rFonts w:ascii="Tahoma" w:hAnsi="Tahoma" w:cs="Tahoma"/>
      <w:sz w:val="16"/>
      <w:szCs w:val="16"/>
    </w:rPr>
  </w:style>
  <w:style w:type="paragraph" w:styleId="ListParagraph">
    <w:name w:val="List Paragraph"/>
    <w:basedOn w:val="Normal"/>
    <w:uiPriority w:val="34"/>
    <w:qFormat/>
    <w:rsid w:val="00C67C16"/>
    <w:pPr>
      <w:ind w:left="720"/>
      <w:contextualSpacing/>
    </w:pPr>
  </w:style>
  <w:style w:type="paragraph" w:styleId="NoSpacing">
    <w:name w:val="No Spacing"/>
    <w:uiPriority w:val="1"/>
    <w:qFormat/>
    <w:rsid w:val="00216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ACIFA</cp:lastModifiedBy>
  <cp:revision>2</cp:revision>
  <dcterms:created xsi:type="dcterms:W3CDTF">2021-11-01T16:06:00Z</dcterms:created>
  <dcterms:modified xsi:type="dcterms:W3CDTF">2021-11-01T16:06:00Z</dcterms:modified>
</cp:coreProperties>
</file>